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CE" w:rsidRDefault="0034327A" w:rsidP="0034327A">
      <w:pPr>
        <w:pStyle w:val="Title"/>
        <w:rPr>
          <w:lang w:val="en-CA"/>
        </w:rPr>
      </w:pPr>
      <w:r>
        <w:rPr>
          <w:lang w:val="en-CA"/>
        </w:rPr>
        <w:t>Sample Monthly Budget</w:t>
      </w:r>
    </w:p>
    <w:p w:rsidR="0034327A" w:rsidRPr="00CE6041" w:rsidRDefault="00CE6041" w:rsidP="0034327A">
      <w:pPr>
        <w:rPr>
          <w:lang w:val="en-CA"/>
        </w:rPr>
      </w:pPr>
      <w:r w:rsidRPr="00CE6041">
        <w:rPr>
          <w:lang w:val="en-CA"/>
        </w:rPr>
        <w:t xml:space="preserve">The goal when budgeting for the newcomer family is </w:t>
      </w:r>
      <w:bookmarkStart w:id="0" w:name="_GoBack"/>
      <w:r w:rsidRPr="00CE6041">
        <w:rPr>
          <w:b/>
          <w:lang w:val="en-CA"/>
        </w:rPr>
        <w:t>to create a sustainable standard of living</w:t>
      </w:r>
      <w:r w:rsidRPr="00CE6041">
        <w:rPr>
          <w:lang w:val="en-CA"/>
        </w:rPr>
        <w:t xml:space="preserve"> </w:t>
      </w:r>
      <w:bookmarkEnd w:id="0"/>
      <w:r w:rsidRPr="00CE6041">
        <w:rPr>
          <w:lang w:val="en-CA"/>
        </w:rPr>
        <w:t>that the family will be able to maintain once the year of your financial support has ended.</w:t>
      </w:r>
    </w:p>
    <w:tbl>
      <w:tblPr>
        <w:tblStyle w:val="GridTable1Light"/>
        <w:tblW w:w="0" w:type="auto"/>
        <w:tblLook w:val="04A0" w:firstRow="1" w:lastRow="0" w:firstColumn="1" w:lastColumn="0" w:noHBand="0" w:noVBand="1"/>
      </w:tblPr>
      <w:tblGrid>
        <w:gridCol w:w="1980"/>
        <w:gridCol w:w="1843"/>
        <w:gridCol w:w="5527"/>
      </w:tblGrid>
      <w:tr w:rsidR="0034327A" w:rsidRPr="00915C55" w:rsidTr="00343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4327A" w:rsidRPr="00915C55" w:rsidRDefault="0034327A" w:rsidP="0034327A">
            <w:pPr>
              <w:pStyle w:val="NoSpacing"/>
              <w:rPr>
                <w:rFonts w:ascii="Cambria" w:hAnsi="Cambria"/>
                <w:sz w:val="28"/>
                <w:lang w:val="en-CA"/>
              </w:rPr>
            </w:pPr>
            <w:r w:rsidRPr="00915C55">
              <w:rPr>
                <w:rFonts w:ascii="Cambria" w:hAnsi="Cambria"/>
                <w:sz w:val="28"/>
                <w:lang w:val="en-CA"/>
              </w:rPr>
              <w:t>Item</w:t>
            </w:r>
          </w:p>
        </w:tc>
        <w:tc>
          <w:tcPr>
            <w:tcW w:w="1843" w:type="dxa"/>
          </w:tcPr>
          <w:p w:rsidR="0034327A" w:rsidRPr="00915C55" w:rsidRDefault="0034327A" w:rsidP="0034327A">
            <w:pPr>
              <w:pStyle w:val="NoSpacing"/>
              <w:cnfStyle w:val="100000000000" w:firstRow="1" w:lastRow="0" w:firstColumn="0" w:lastColumn="0" w:oddVBand="0" w:evenVBand="0" w:oddHBand="0" w:evenHBand="0" w:firstRowFirstColumn="0" w:firstRowLastColumn="0" w:lastRowFirstColumn="0" w:lastRowLastColumn="0"/>
              <w:rPr>
                <w:rFonts w:ascii="Cambria" w:hAnsi="Cambria"/>
                <w:sz w:val="28"/>
                <w:lang w:val="en-CA"/>
              </w:rPr>
            </w:pPr>
            <w:r w:rsidRPr="00915C55">
              <w:rPr>
                <w:rFonts w:ascii="Cambria" w:hAnsi="Cambria"/>
                <w:sz w:val="28"/>
                <w:lang w:val="en-CA"/>
              </w:rPr>
              <w:t>Cost</w:t>
            </w:r>
          </w:p>
          <w:p w:rsidR="0034327A" w:rsidRPr="00915C55" w:rsidRDefault="0034327A" w:rsidP="00915C55">
            <w:pPr>
              <w:pStyle w:val="NoSpacing"/>
              <w:cnfStyle w:val="100000000000" w:firstRow="1" w:lastRow="0" w:firstColumn="0" w:lastColumn="0" w:oddVBand="0" w:evenVBand="0" w:oddHBand="0" w:evenHBand="0" w:firstRowFirstColumn="0" w:firstRowLastColumn="0" w:lastRowFirstColumn="0" w:lastRowLastColumn="0"/>
              <w:rPr>
                <w:rFonts w:ascii="Cambria" w:hAnsi="Cambria"/>
                <w:sz w:val="28"/>
                <w:lang w:val="en-CA"/>
              </w:rPr>
            </w:pPr>
            <w:r w:rsidRPr="00915C55">
              <w:rPr>
                <w:rFonts w:ascii="Cambria" w:hAnsi="Cambria"/>
                <w:sz w:val="28"/>
                <w:lang w:val="en-CA"/>
              </w:rPr>
              <w:t xml:space="preserve"> $ </w:t>
            </w:r>
            <w:r w:rsidR="00915C55">
              <w:rPr>
                <w:rFonts w:ascii="Cambria" w:hAnsi="Cambria"/>
                <w:sz w:val="28"/>
                <w:lang w:val="en-CA"/>
              </w:rPr>
              <w:t>/</w:t>
            </w:r>
            <w:r w:rsidRPr="00915C55">
              <w:rPr>
                <w:rFonts w:ascii="Cambria" w:hAnsi="Cambria"/>
                <w:sz w:val="28"/>
                <w:lang w:val="en-CA"/>
              </w:rPr>
              <w:t xml:space="preserve"> month</w:t>
            </w:r>
          </w:p>
        </w:tc>
        <w:tc>
          <w:tcPr>
            <w:tcW w:w="5527" w:type="dxa"/>
          </w:tcPr>
          <w:p w:rsidR="0034327A" w:rsidRPr="00915C55" w:rsidRDefault="0034327A" w:rsidP="0034327A">
            <w:pPr>
              <w:pStyle w:val="NoSpacing"/>
              <w:cnfStyle w:val="100000000000" w:firstRow="1" w:lastRow="0" w:firstColumn="0" w:lastColumn="0" w:oddVBand="0" w:evenVBand="0" w:oddHBand="0" w:evenHBand="0" w:firstRowFirstColumn="0" w:firstRowLastColumn="0" w:lastRowFirstColumn="0" w:lastRowLastColumn="0"/>
              <w:rPr>
                <w:rFonts w:ascii="Cambria" w:hAnsi="Cambria"/>
                <w:sz w:val="28"/>
                <w:lang w:val="en-CA"/>
              </w:rPr>
            </w:pPr>
            <w:r w:rsidRPr="00915C55">
              <w:rPr>
                <w:rFonts w:ascii="Cambria" w:hAnsi="Cambria"/>
                <w:sz w:val="28"/>
                <w:lang w:val="en-CA"/>
              </w:rPr>
              <w:t>Questions to consider</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Rent</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34327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Is rent at a level the newcomer will be able to afford after sponsorship ends?</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Utilities</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34327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Include electricity, heat, and water</w:t>
            </w:r>
            <w:r w:rsidR="00D7150F">
              <w:rPr>
                <w:rFonts w:asciiTheme="majorHAnsi" w:hAnsiTheme="majorHAnsi"/>
                <w:sz w:val="22"/>
                <w:lang w:val="en-CA"/>
              </w:rPr>
              <w:t xml:space="preserve"> (if not included in rent)</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Food</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34327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Take into account the newcomers need to have some national foods in his/her diet. Help newcomers to comparison shop and buy in bulk.</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Transport</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34327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Look into bus or metro passes.</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Clothes</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7E180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Show newcomers how to make use of second-hand and bargain stores.</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Phone/Internet</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7E180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Decide whether to fund long distance calls and, if so, to what extent. Remember that the newcomer will need to communicate with family and friends back home. If cell phones are used, make sure they understand the plan as North American plans are dramatically different.</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Supplies</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7E180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Take into account laundry and cleaning supplies, as well as toiletries and paper products.</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Furniture</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7E180A"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Use donations and second-hand stores to offset cost.</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Health</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7E180A" w:rsidP="00D7150F">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Plan for cost not cover</w:t>
            </w:r>
            <w:r w:rsidR="00D7150F">
              <w:rPr>
                <w:rFonts w:asciiTheme="majorHAnsi" w:hAnsiTheme="majorHAnsi"/>
                <w:sz w:val="22"/>
                <w:lang w:val="en-CA"/>
              </w:rPr>
              <w:t xml:space="preserve">ed by the medical plan: ex. dental beyond emergency </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Discretion</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915C55"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sidRPr="007C2825">
              <w:rPr>
                <w:rFonts w:asciiTheme="majorHAnsi" w:hAnsiTheme="majorHAnsi"/>
                <w:sz w:val="22"/>
                <w:lang w:val="en-CA"/>
              </w:rPr>
              <w:t>Pocket money; recreation</w:t>
            </w:r>
          </w:p>
        </w:tc>
      </w:tr>
      <w:tr w:rsidR="0034327A" w:rsidTr="00915C55">
        <w:trPr>
          <w:trHeight w:val="794"/>
        </w:trPr>
        <w:tc>
          <w:tcPr>
            <w:cnfStyle w:val="001000000000" w:firstRow="0" w:lastRow="0" w:firstColumn="1" w:lastColumn="0" w:oddVBand="0" w:evenVBand="0" w:oddHBand="0" w:evenHBand="0" w:firstRowFirstColumn="0" w:firstRowLastColumn="0" w:lastRowFirstColumn="0" w:lastRowLastColumn="0"/>
            <w:tcW w:w="1980" w:type="dxa"/>
          </w:tcPr>
          <w:p w:rsidR="0034327A" w:rsidRDefault="0034327A" w:rsidP="0034327A">
            <w:pPr>
              <w:pStyle w:val="NoSpacing"/>
              <w:rPr>
                <w:lang w:val="en-CA"/>
              </w:rPr>
            </w:pPr>
            <w:r>
              <w:rPr>
                <w:lang w:val="en-CA"/>
              </w:rPr>
              <w:t>Education</w:t>
            </w:r>
          </w:p>
        </w:tc>
        <w:tc>
          <w:tcPr>
            <w:tcW w:w="1843" w:type="dxa"/>
          </w:tcPr>
          <w:p w:rsidR="0034327A" w:rsidRDefault="0034327A" w:rsidP="0034327A">
            <w:pPr>
              <w:pStyle w:val="NoSpacing"/>
              <w:cnfStyle w:val="000000000000" w:firstRow="0" w:lastRow="0" w:firstColumn="0" w:lastColumn="0" w:oddVBand="0" w:evenVBand="0" w:oddHBand="0" w:evenHBand="0" w:firstRowFirstColumn="0" w:firstRowLastColumn="0" w:lastRowFirstColumn="0" w:lastRowLastColumn="0"/>
              <w:rPr>
                <w:lang w:val="en-CA"/>
              </w:rPr>
            </w:pPr>
          </w:p>
        </w:tc>
        <w:tc>
          <w:tcPr>
            <w:tcW w:w="5527" w:type="dxa"/>
          </w:tcPr>
          <w:p w:rsidR="0034327A" w:rsidRPr="007C2825" w:rsidRDefault="00D7150F" w:rsidP="0034327A">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lang w:val="en-CA"/>
              </w:rPr>
            </w:pPr>
            <w:r>
              <w:rPr>
                <w:rFonts w:asciiTheme="majorHAnsi" w:hAnsiTheme="majorHAnsi"/>
                <w:sz w:val="22"/>
                <w:lang w:val="en-CA"/>
              </w:rPr>
              <w:t xml:space="preserve">School trips, books, day care, if needed, </w:t>
            </w:r>
            <w:r w:rsidR="00915C55" w:rsidRPr="007C2825">
              <w:rPr>
                <w:rFonts w:asciiTheme="majorHAnsi" w:hAnsiTheme="majorHAnsi"/>
                <w:sz w:val="22"/>
                <w:lang w:val="en-CA"/>
              </w:rPr>
              <w:t>to allow parents to study English and to look for jobs.</w:t>
            </w:r>
          </w:p>
        </w:tc>
      </w:tr>
    </w:tbl>
    <w:p w:rsidR="0034327A" w:rsidRPr="009C4F18" w:rsidRDefault="0034327A" w:rsidP="0034327A">
      <w:pPr>
        <w:rPr>
          <w:rFonts w:ascii="Cambria" w:hAnsi="Cambria"/>
          <w:b/>
          <w:lang w:val="en-CA"/>
        </w:rPr>
      </w:pPr>
    </w:p>
    <w:p w:rsidR="009C4F18" w:rsidRPr="009C4F18" w:rsidRDefault="009C4F18" w:rsidP="0034327A">
      <w:pPr>
        <w:rPr>
          <w:rFonts w:ascii="Cambria" w:hAnsi="Cambria"/>
          <w:b/>
          <w:sz w:val="28"/>
          <w:lang w:val="en-CA"/>
        </w:rPr>
      </w:pPr>
      <w:r w:rsidRPr="009C4F18">
        <w:rPr>
          <w:rFonts w:ascii="Cambria" w:hAnsi="Cambria"/>
          <w:b/>
          <w:sz w:val="28"/>
          <w:lang w:val="en-CA"/>
        </w:rPr>
        <w:t>Total monthly budget: $ __________________</w:t>
      </w:r>
    </w:p>
    <w:sectPr w:rsidR="009C4F18" w:rsidRPr="009C4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7A"/>
    <w:rsid w:val="002F517D"/>
    <w:rsid w:val="003079D9"/>
    <w:rsid w:val="0034327A"/>
    <w:rsid w:val="007C2825"/>
    <w:rsid w:val="007E180A"/>
    <w:rsid w:val="008A46A5"/>
    <w:rsid w:val="00915C55"/>
    <w:rsid w:val="009C4F18"/>
    <w:rsid w:val="00CE6041"/>
    <w:rsid w:val="00D71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C25A5-86CA-43FF-8480-6D9D4B24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7D"/>
    <w:pPr>
      <w:spacing w:after="200" w:line="276" w:lineRule="auto"/>
    </w:pPr>
    <w:rPr>
      <w:sz w:val="24"/>
      <w:lang w:val="en-US"/>
    </w:rPr>
  </w:style>
  <w:style w:type="paragraph" w:styleId="Heading1">
    <w:name w:val="heading 1"/>
    <w:basedOn w:val="Normal"/>
    <w:next w:val="Normal"/>
    <w:link w:val="Heading1Char"/>
    <w:autoRedefine/>
    <w:uiPriority w:val="9"/>
    <w:qFormat/>
    <w:rsid w:val="002F517D"/>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2F517D"/>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4327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F517D"/>
    <w:pPr>
      <w:pBdr>
        <w:bottom w:val="single" w:sz="12" w:space="1" w:color="2E74B5" w:themeColor="accent1" w:themeShade="BF"/>
      </w:pBdr>
      <w:spacing w:after="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2F517D"/>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2F517D"/>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2F517D"/>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34327A"/>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34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432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34327A"/>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Mennonite Central Committee Ontario</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Pickett</dc:creator>
  <cp:keywords/>
  <dc:description/>
  <cp:lastModifiedBy>Peggy Pickett</cp:lastModifiedBy>
  <cp:revision>4</cp:revision>
  <dcterms:created xsi:type="dcterms:W3CDTF">2015-11-13T12:32:00Z</dcterms:created>
  <dcterms:modified xsi:type="dcterms:W3CDTF">2016-02-08T22:33:00Z</dcterms:modified>
</cp:coreProperties>
</file>